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349E3" w14:textId="77777777" w:rsidR="00E8386C" w:rsidRDefault="00A142F1" w:rsidP="002E5F3F">
      <w:pPr>
        <w:jc w:val="center"/>
        <w:rPr>
          <w:b/>
        </w:rPr>
      </w:pPr>
      <w:bookmarkStart w:id="0" w:name="_GoBack"/>
      <w:bookmarkEnd w:id="0"/>
      <w:r>
        <w:rPr>
          <w:b/>
        </w:rPr>
        <w:t>(in Shipper</w:t>
      </w:r>
      <w:r w:rsidR="002E5F3F">
        <w:rPr>
          <w:b/>
        </w:rPr>
        <w:t>’</w:t>
      </w:r>
      <w:r>
        <w:rPr>
          <w:b/>
        </w:rPr>
        <w:t>s</w:t>
      </w:r>
      <w:r w:rsidR="002E5F3F">
        <w:rPr>
          <w:b/>
        </w:rPr>
        <w:t xml:space="preserve"> Letterhead)</w:t>
      </w:r>
    </w:p>
    <w:p w14:paraId="14463FF1" w14:textId="77777777" w:rsidR="002E5F3F" w:rsidRDefault="002E5F3F" w:rsidP="002E5F3F">
      <w:pPr>
        <w:pStyle w:val="NoSpacing"/>
      </w:pPr>
      <w:r>
        <w:t>To</w:t>
      </w:r>
    </w:p>
    <w:p w14:paraId="660FB60C" w14:textId="77777777" w:rsidR="002E5F3F" w:rsidRDefault="002E5F3F" w:rsidP="002E5F3F">
      <w:pPr>
        <w:pStyle w:val="NoSpacing"/>
      </w:pPr>
      <w:r>
        <w:t>The Manager</w:t>
      </w:r>
    </w:p>
    <w:p w14:paraId="03C7DEBA" w14:textId="77777777" w:rsidR="002E5F3F" w:rsidRDefault="002E5F3F" w:rsidP="002E5F3F">
      <w:pPr>
        <w:pStyle w:val="NoSpacing"/>
      </w:pPr>
      <w:r>
        <w:t>InterGlobe Aviation Ltd. (“IndiGo”)</w:t>
      </w:r>
    </w:p>
    <w:p w14:paraId="25B83C6B" w14:textId="77777777" w:rsidR="002E5F3F" w:rsidRDefault="002E5F3F" w:rsidP="002E5F3F">
      <w:pPr>
        <w:pStyle w:val="NoSpacing"/>
      </w:pPr>
      <w:r>
        <w:t>Station:</w:t>
      </w:r>
    </w:p>
    <w:p w14:paraId="27F2AD37" w14:textId="77777777" w:rsidR="002E5F3F" w:rsidRDefault="002E5F3F" w:rsidP="002E5F3F">
      <w:pPr>
        <w:pStyle w:val="NoSpacing"/>
      </w:pPr>
    </w:p>
    <w:p w14:paraId="23EBD061" w14:textId="77777777" w:rsidR="002E5F3F" w:rsidRPr="000C29BC" w:rsidRDefault="002E5F3F" w:rsidP="002E5F3F">
      <w:pPr>
        <w:pStyle w:val="NoSpacing"/>
        <w:rPr>
          <w:b/>
          <w:u w:val="single"/>
        </w:rPr>
      </w:pPr>
      <w:r w:rsidRPr="000C29BC">
        <w:rPr>
          <w:b/>
          <w:u w:val="single"/>
        </w:rPr>
        <w:t xml:space="preserve">Sub : Declaration pertaining to carriage of </w:t>
      </w:r>
      <w:r w:rsidR="005C3FBA" w:rsidRPr="000C29BC">
        <w:rPr>
          <w:b/>
          <w:u w:val="single"/>
        </w:rPr>
        <w:t>Biological products</w:t>
      </w:r>
    </w:p>
    <w:p w14:paraId="28A5D1F6" w14:textId="77777777" w:rsidR="005C3FBA" w:rsidRDefault="005C3FBA" w:rsidP="002E5F3F">
      <w:pPr>
        <w:pStyle w:val="NoSpacing"/>
      </w:pPr>
    </w:p>
    <w:p w14:paraId="7C749119" w14:textId="77777777" w:rsidR="005C3FBA" w:rsidRDefault="005C3FBA" w:rsidP="002E5F3F">
      <w:pPr>
        <w:pStyle w:val="NoSpacing"/>
      </w:pPr>
      <w:r>
        <w:t>Dear Sir / Madam</w:t>
      </w:r>
    </w:p>
    <w:p w14:paraId="1EEF57E8" w14:textId="77777777" w:rsidR="005C3FBA" w:rsidRDefault="005C3FBA" w:rsidP="002E5F3F">
      <w:pPr>
        <w:pStyle w:val="NoSpacing"/>
      </w:pPr>
    </w:p>
    <w:p w14:paraId="5F0C2171" w14:textId="77777777" w:rsidR="005C3FBA" w:rsidRPr="000C29BC" w:rsidRDefault="005C3FBA" w:rsidP="002E5F3F">
      <w:pPr>
        <w:pStyle w:val="NoSpacing"/>
        <w:rPr>
          <w:sz w:val="20"/>
          <w:szCs w:val="20"/>
        </w:rPr>
      </w:pPr>
      <w:r w:rsidRPr="000C29BC">
        <w:rPr>
          <w:sz w:val="20"/>
          <w:szCs w:val="20"/>
        </w:rPr>
        <w:t>This is to inform that the following shipment is offered to be transported in your Aircraft as per the following details:</w:t>
      </w:r>
    </w:p>
    <w:tbl>
      <w:tblPr>
        <w:tblStyle w:val="TableGrid"/>
        <w:tblW w:w="0" w:type="auto"/>
        <w:jc w:val="center"/>
        <w:tblLook w:val="04A0" w:firstRow="1" w:lastRow="0" w:firstColumn="1" w:lastColumn="0" w:noHBand="0" w:noVBand="1"/>
      </w:tblPr>
      <w:tblGrid>
        <w:gridCol w:w="3775"/>
        <w:gridCol w:w="6480"/>
      </w:tblGrid>
      <w:tr w:rsidR="005C3FBA" w:rsidRPr="000C29BC" w14:paraId="34649135" w14:textId="77777777" w:rsidTr="00F755EE">
        <w:trPr>
          <w:trHeight w:val="278"/>
          <w:jc w:val="center"/>
        </w:trPr>
        <w:tc>
          <w:tcPr>
            <w:tcW w:w="3775" w:type="dxa"/>
          </w:tcPr>
          <w:p w14:paraId="6F6BD4CC" w14:textId="77777777" w:rsidR="005C3FBA" w:rsidRPr="000C29BC" w:rsidRDefault="005C3FBA" w:rsidP="002E5F3F">
            <w:pPr>
              <w:pStyle w:val="NoSpacing"/>
              <w:rPr>
                <w:sz w:val="20"/>
                <w:szCs w:val="20"/>
              </w:rPr>
            </w:pPr>
            <w:r w:rsidRPr="000C29BC">
              <w:rPr>
                <w:sz w:val="20"/>
                <w:szCs w:val="20"/>
              </w:rPr>
              <w:t>AWB Number</w:t>
            </w:r>
            <w:r w:rsidR="0049316E">
              <w:rPr>
                <w:sz w:val="20"/>
                <w:szCs w:val="20"/>
              </w:rPr>
              <w:t xml:space="preserve"> / pcs / weight</w:t>
            </w:r>
          </w:p>
        </w:tc>
        <w:tc>
          <w:tcPr>
            <w:tcW w:w="6480" w:type="dxa"/>
          </w:tcPr>
          <w:p w14:paraId="16CF93C4" w14:textId="77777777" w:rsidR="005C3FBA" w:rsidRPr="000C29BC" w:rsidRDefault="005C3FBA" w:rsidP="002E5F3F">
            <w:pPr>
              <w:pStyle w:val="NoSpacing"/>
              <w:rPr>
                <w:sz w:val="20"/>
                <w:szCs w:val="20"/>
              </w:rPr>
            </w:pPr>
          </w:p>
        </w:tc>
      </w:tr>
      <w:tr w:rsidR="005C3FBA" w:rsidRPr="000C29BC" w14:paraId="5937EBAB" w14:textId="77777777" w:rsidTr="00F755EE">
        <w:trPr>
          <w:jc w:val="center"/>
        </w:trPr>
        <w:tc>
          <w:tcPr>
            <w:tcW w:w="3775" w:type="dxa"/>
          </w:tcPr>
          <w:p w14:paraId="11237147" w14:textId="77777777" w:rsidR="005C3FBA" w:rsidRPr="000C29BC" w:rsidRDefault="005C3FBA" w:rsidP="002E5F3F">
            <w:pPr>
              <w:pStyle w:val="NoSpacing"/>
              <w:rPr>
                <w:sz w:val="20"/>
                <w:szCs w:val="20"/>
              </w:rPr>
            </w:pPr>
            <w:r w:rsidRPr="000C29BC">
              <w:rPr>
                <w:sz w:val="20"/>
                <w:szCs w:val="20"/>
              </w:rPr>
              <w:t>Name of the product</w:t>
            </w:r>
          </w:p>
        </w:tc>
        <w:tc>
          <w:tcPr>
            <w:tcW w:w="6480" w:type="dxa"/>
          </w:tcPr>
          <w:p w14:paraId="17BD6E29" w14:textId="77777777" w:rsidR="005C3FBA" w:rsidRPr="000C29BC" w:rsidRDefault="005C3FBA" w:rsidP="002E5F3F">
            <w:pPr>
              <w:pStyle w:val="NoSpacing"/>
              <w:rPr>
                <w:sz w:val="20"/>
                <w:szCs w:val="20"/>
              </w:rPr>
            </w:pPr>
          </w:p>
        </w:tc>
      </w:tr>
      <w:tr w:rsidR="005C3FBA" w:rsidRPr="000C29BC" w14:paraId="6DF4F488" w14:textId="77777777" w:rsidTr="00F755EE">
        <w:trPr>
          <w:jc w:val="center"/>
        </w:trPr>
        <w:tc>
          <w:tcPr>
            <w:tcW w:w="3775" w:type="dxa"/>
          </w:tcPr>
          <w:p w14:paraId="5158D19E" w14:textId="77777777" w:rsidR="005C3FBA" w:rsidRPr="000C29BC" w:rsidRDefault="005C3FBA" w:rsidP="002E5F3F">
            <w:pPr>
              <w:pStyle w:val="NoSpacing"/>
              <w:rPr>
                <w:sz w:val="20"/>
                <w:szCs w:val="20"/>
              </w:rPr>
            </w:pPr>
            <w:r w:rsidRPr="000C29BC">
              <w:rPr>
                <w:sz w:val="20"/>
                <w:szCs w:val="20"/>
              </w:rPr>
              <w:t>Category (Tick the appropriate box)</w:t>
            </w:r>
          </w:p>
        </w:tc>
        <w:tc>
          <w:tcPr>
            <w:tcW w:w="6480" w:type="dxa"/>
          </w:tcPr>
          <w:p w14:paraId="576E73B6" w14:textId="77777777" w:rsidR="005C3FBA" w:rsidRPr="000C29BC" w:rsidRDefault="00F755EE" w:rsidP="002E5F3F">
            <w:pPr>
              <w:pStyle w:val="NoSpacing"/>
              <w:rPr>
                <w:sz w:val="20"/>
                <w:szCs w:val="20"/>
              </w:rPr>
            </w:pPr>
            <w:r w:rsidRPr="000C29BC">
              <w:rPr>
                <w:sz w:val="20"/>
                <w:szCs w:val="20"/>
              </w:rPr>
              <w:t xml:space="preserve">Exceptions </w:t>
            </w:r>
            <w:r w:rsidRPr="000C29BC">
              <w:rPr>
                <w:sz w:val="20"/>
                <w:szCs w:val="20"/>
              </w:rPr>
              <w:sym w:font="Wingdings" w:char="F06F"/>
            </w:r>
            <w:r w:rsidRPr="000C29BC">
              <w:rPr>
                <w:sz w:val="20"/>
                <w:szCs w:val="20"/>
              </w:rPr>
              <w:t xml:space="preserve"> / Biological Substances, category B, UN3373 </w:t>
            </w:r>
            <w:r w:rsidRPr="000C29BC">
              <w:rPr>
                <w:sz w:val="20"/>
                <w:szCs w:val="20"/>
              </w:rPr>
              <w:sym w:font="Wingdings" w:char="F06F"/>
            </w:r>
          </w:p>
          <w:p w14:paraId="4359FABD" w14:textId="77777777" w:rsidR="00F755EE" w:rsidRPr="000C29BC" w:rsidRDefault="00F755EE" w:rsidP="00F755EE">
            <w:pPr>
              <w:pStyle w:val="NoSpacing"/>
              <w:rPr>
                <w:sz w:val="20"/>
                <w:szCs w:val="20"/>
              </w:rPr>
            </w:pPr>
            <w:r w:rsidRPr="000C29BC">
              <w:rPr>
                <w:sz w:val="20"/>
                <w:szCs w:val="20"/>
              </w:rPr>
              <w:t>(refer below guideline for “Exceptions” and tick as applicable)</w:t>
            </w:r>
          </w:p>
        </w:tc>
      </w:tr>
    </w:tbl>
    <w:p w14:paraId="6955F75F" w14:textId="77777777" w:rsidR="005C3FBA" w:rsidRPr="000C29BC" w:rsidRDefault="00F755EE" w:rsidP="002E5F3F">
      <w:pPr>
        <w:pStyle w:val="NoSpacing"/>
        <w:rPr>
          <w:sz w:val="20"/>
          <w:szCs w:val="20"/>
        </w:rPr>
      </w:pPr>
      <w:r w:rsidRPr="000C29BC">
        <w:rPr>
          <w:sz w:val="20"/>
          <w:szCs w:val="20"/>
        </w:rPr>
        <w:t>Exceptions</w:t>
      </w:r>
    </w:p>
    <w:tbl>
      <w:tblPr>
        <w:tblStyle w:val="TableGrid"/>
        <w:tblW w:w="0" w:type="auto"/>
        <w:tblLook w:val="04A0" w:firstRow="1" w:lastRow="0" w:firstColumn="1" w:lastColumn="0" w:noHBand="0" w:noVBand="1"/>
      </w:tblPr>
      <w:tblGrid>
        <w:gridCol w:w="9252"/>
        <w:gridCol w:w="1004"/>
        <w:gridCol w:w="534"/>
      </w:tblGrid>
      <w:tr w:rsidR="00F755EE" w14:paraId="753D1F39" w14:textId="77777777" w:rsidTr="0062494E">
        <w:tc>
          <w:tcPr>
            <w:tcW w:w="9265" w:type="dxa"/>
          </w:tcPr>
          <w:p w14:paraId="21FFDBFE" w14:textId="77777777" w:rsidR="00F755EE" w:rsidRPr="000C29BC" w:rsidRDefault="0062494E" w:rsidP="00F755EE">
            <w:pPr>
              <w:pStyle w:val="NoSpacing"/>
              <w:jc w:val="both"/>
              <w:rPr>
                <w:b/>
                <w:sz w:val="20"/>
                <w:szCs w:val="20"/>
              </w:rPr>
            </w:pPr>
            <w:r w:rsidRPr="000C29BC">
              <w:rPr>
                <w:b/>
                <w:sz w:val="20"/>
                <w:szCs w:val="20"/>
              </w:rPr>
              <w:t>Details of the type of category under “Exceptions”</w:t>
            </w:r>
          </w:p>
        </w:tc>
        <w:tc>
          <w:tcPr>
            <w:tcW w:w="990" w:type="dxa"/>
          </w:tcPr>
          <w:p w14:paraId="6FA76900" w14:textId="77777777" w:rsidR="00F755EE" w:rsidRPr="000C29BC" w:rsidRDefault="0062494E" w:rsidP="00F755EE">
            <w:pPr>
              <w:pStyle w:val="NoSpacing"/>
              <w:jc w:val="both"/>
              <w:rPr>
                <w:b/>
                <w:sz w:val="20"/>
                <w:szCs w:val="20"/>
              </w:rPr>
            </w:pPr>
            <w:r w:rsidRPr="000C29BC">
              <w:rPr>
                <w:b/>
                <w:sz w:val="20"/>
                <w:szCs w:val="20"/>
              </w:rPr>
              <w:t>IATA ref.</w:t>
            </w:r>
          </w:p>
        </w:tc>
        <w:tc>
          <w:tcPr>
            <w:tcW w:w="535" w:type="dxa"/>
          </w:tcPr>
          <w:p w14:paraId="04741B04" w14:textId="77777777" w:rsidR="00F755EE" w:rsidRPr="000C29BC" w:rsidRDefault="00F755EE" w:rsidP="00F755EE">
            <w:pPr>
              <w:pStyle w:val="NoSpacing"/>
              <w:jc w:val="both"/>
              <w:rPr>
                <w:b/>
                <w:sz w:val="20"/>
                <w:szCs w:val="20"/>
              </w:rPr>
            </w:pPr>
          </w:p>
        </w:tc>
      </w:tr>
      <w:tr w:rsidR="00F755EE" w14:paraId="3266B62C" w14:textId="77777777" w:rsidTr="0062494E">
        <w:tc>
          <w:tcPr>
            <w:tcW w:w="9265" w:type="dxa"/>
          </w:tcPr>
          <w:p w14:paraId="44E3C571" w14:textId="77777777" w:rsidR="00F755EE" w:rsidRPr="000C29BC" w:rsidRDefault="0062494E" w:rsidP="00F755EE">
            <w:pPr>
              <w:pStyle w:val="NoSpacing"/>
              <w:jc w:val="both"/>
              <w:rPr>
                <w:sz w:val="18"/>
                <w:szCs w:val="18"/>
              </w:rPr>
            </w:pPr>
            <w:r w:rsidRPr="000C29BC">
              <w:rPr>
                <w:sz w:val="18"/>
                <w:szCs w:val="18"/>
              </w:rPr>
              <w:t>Substances which do not contain infectious substances or substances which are unlikely to cause disease in humans or animals if not included in other class of DG</w:t>
            </w:r>
          </w:p>
        </w:tc>
        <w:tc>
          <w:tcPr>
            <w:tcW w:w="990" w:type="dxa"/>
          </w:tcPr>
          <w:p w14:paraId="711A6414" w14:textId="77777777" w:rsidR="00F755EE" w:rsidRPr="000C29BC" w:rsidRDefault="0062494E" w:rsidP="00F755EE">
            <w:pPr>
              <w:pStyle w:val="NoSpacing"/>
              <w:jc w:val="both"/>
              <w:rPr>
                <w:sz w:val="18"/>
                <w:szCs w:val="18"/>
              </w:rPr>
            </w:pPr>
            <w:r w:rsidRPr="000C29BC">
              <w:rPr>
                <w:b/>
                <w:sz w:val="18"/>
                <w:szCs w:val="18"/>
              </w:rPr>
              <w:t>3.6.2.2.3.1</w:t>
            </w:r>
          </w:p>
        </w:tc>
        <w:tc>
          <w:tcPr>
            <w:tcW w:w="535" w:type="dxa"/>
          </w:tcPr>
          <w:p w14:paraId="1C7E3FEA" w14:textId="77777777" w:rsidR="00F755EE" w:rsidRDefault="00F755EE" w:rsidP="00F755EE">
            <w:pPr>
              <w:pStyle w:val="NoSpacing"/>
              <w:jc w:val="both"/>
              <w:rPr>
                <w:sz w:val="16"/>
                <w:szCs w:val="16"/>
              </w:rPr>
            </w:pPr>
          </w:p>
        </w:tc>
      </w:tr>
      <w:tr w:rsidR="00F755EE" w14:paraId="742AD341" w14:textId="77777777" w:rsidTr="0062494E">
        <w:tc>
          <w:tcPr>
            <w:tcW w:w="9265" w:type="dxa"/>
          </w:tcPr>
          <w:p w14:paraId="2967785F" w14:textId="77777777" w:rsidR="00F755EE" w:rsidRPr="000C29BC" w:rsidRDefault="0062494E" w:rsidP="00F755EE">
            <w:pPr>
              <w:pStyle w:val="NoSpacing"/>
              <w:jc w:val="both"/>
              <w:rPr>
                <w:sz w:val="18"/>
                <w:szCs w:val="18"/>
              </w:rPr>
            </w:pPr>
            <w:r w:rsidRPr="000C29BC">
              <w:rPr>
                <w:sz w:val="18"/>
                <w:szCs w:val="18"/>
              </w:rPr>
              <w:t>Substances containing micro-organisms, which are non-pathogenic to humans or animals unless they meet the criteria for inclusion in another class</w:t>
            </w:r>
          </w:p>
        </w:tc>
        <w:tc>
          <w:tcPr>
            <w:tcW w:w="990" w:type="dxa"/>
          </w:tcPr>
          <w:p w14:paraId="0181ABCF" w14:textId="77777777" w:rsidR="00F755EE" w:rsidRPr="000C29BC" w:rsidRDefault="0062494E" w:rsidP="00F755EE">
            <w:pPr>
              <w:pStyle w:val="NoSpacing"/>
              <w:jc w:val="both"/>
              <w:rPr>
                <w:sz w:val="18"/>
                <w:szCs w:val="18"/>
              </w:rPr>
            </w:pPr>
            <w:r w:rsidRPr="000C29BC">
              <w:rPr>
                <w:b/>
                <w:sz w:val="18"/>
                <w:szCs w:val="18"/>
              </w:rPr>
              <w:t>3.6.2.2.3.2</w:t>
            </w:r>
          </w:p>
        </w:tc>
        <w:tc>
          <w:tcPr>
            <w:tcW w:w="535" w:type="dxa"/>
          </w:tcPr>
          <w:p w14:paraId="66A8C8C3" w14:textId="77777777" w:rsidR="00F755EE" w:rsidRDefault="00F755EE" w:rsidP="00F755EE">
            <w:pPr>
              <w:pStyle w:val="NoSpacing"/>
              <w:jc w:val="both"/>
              <w:rPr>
                <w:sz w:val="16"/>
                <w:szCs w:val="16"/>
              </w:rPr>
            </w:pPr>
          </w:p>
        </w:tc>
      </w:tr>
      <w:tr w:rsidR="00F755EE" w14:paraId="0A0902B3" w14:textId="77777777" w:rsidTr="0062494E">
        <w:tc>
          <w:tcPr>
            <w:tcW w:w="9265" w:type="dxa"/>
          </w:tcPr>
          <w:p w14:paraId="29F757EE" w14:textId="77777777" w:rsidR="00F755EE" w:rsidRPr="000C29BC" w:rsidRDefault="0062494E" w:rsidP="00F755EE">
            <w:pPr>
              <w:pStyle w:val="NoSpacing"/>
              <w:jc w:val="both"/>
              <w:rPr>
                <w:sz w:val="18"/>
                <w:szCs w:val="18"/>
              </w:rPr>
            </w:pPr>
            <w:r w:rsidRPr="000C29BC">
              <w:rPr>
                <w:sz w:val="18"/>
                <w:szCs w:val="18"/>
              </w:rPr>
              <w:t>Substances in a form that any present pathogens have been neutralized or inactivated such that they no longer pose a health risk they meet the criteria for inclusion in another class</w:t>
            </w:r>
          </w:p>
        </w:tc>
        <w:tc>
          <w:tcPr>
            <w:tcW w:w="990" w:type="dxa"/>
          </w:tcPr>
          <w:p w14:paraId="10F50DEB" w14:textId="77777777" w:rsidR="00F755EE" w:rsidRPr="000C29BC" w:rsidRDefault="0062494E" w:rsidP="00F755EE">
            <w:pPr>
              <w:pStyle w:val="NoSpacing"/>
              <w:jc w:val="both"/>
              <w:rPr>
                <w:sz w:val="18"/>
                <w:szCs w:val="18"/>
              </w:rPr>
            </w:pPr>
            <w:r w:rsidRPr="000C29BC">
              <w:rPr>
                <w:b/>
                <w:sz w:val="18"/>
                <w:szCs w:val="18"/>
              </w:rPr>
              <w:t>3.6.2.2.3.3</w:t>
            </w:r>
          </w:p>
        </w:tc>
        <w:tc>
          <w:tcPr>
            <w:tcW w:w="535" w:type="dxa"/>
          </w:tcPr>
          <w:p w14:paraId="2423BCA6" w14:textId="77777777" w:rsidR="00F755EE" w:rsidRDefault="00F755EE" w:rsidP="00F755EE">
            <w:pPr>
              <w:pStyle w:val="NoSpacing"/>
              <w:jc w:val="both"/>
              <w:rPr>
                <w:sz w:val="16"/>
                <w:szCs w:val="16"/>
              </w:rPr>
            </w:pPr>
          </w:p>
        </w:tc>
      </w:tr>
      <w:tr w:rsidR="00F755EE" w14:paraId="116482EF" w14:textId="77777777" w:rsidTr="0062494E">
        <w:tc>
          <w:tcPr>
            <w:tcW w:w="9265" w:type="dxa"/>
          </w:tcPr>
          <w:p w14:paraId="16B95111" w14:textId="77777777" w:rsidR="00F755EE" w:rsidRPr="000C29BC" w:rsidRDefault="0062494E" w:rsidP="00F755EE">
            <w:pPr>
              <w:pStyle w:val="NoSpacing"/>
              <w:jc w:val="both"/>
              <w:rPr>
                <w:sz w:val="18"/>
                <w:szCs w:val="18"/>
              </w:rPr>
            </w:pPr>
            <w:r w:rsidRPr="000C29BC">
              <w:rPr>
                <w:sz w:val="18"/>
                <w:szCs w:val="18"/>
              </w:rPr>
              <w:t>Environmental samples (including food and water samples), which are not considered to pose a significant risk of infection, unless they meet the criteria for inclusion in another class</w:t>
            </w:r>
          </w:p>
        </w:tc>
        <w:tc>
          <w:tcPr>
            <w:tcW w:w="990" w:type="dxa"/>
          </w:tcPr>
          <w:p w14:paraId="5E67A9F4" w14:textId="77777777" w:rsidR="00F755EE" w:rsidRPr="000C29BC" w:rsidRDefault="0062494E" w:rsidP="00F755EE">
            <w:pPr>
              <w:pStyle w:val="NoSpacing"/>
              <w:jc w:val="both"/>
              <w:rPr>
                <w:sz w:val="18"/>
                <w:szCs w:val="18"/>
              </w:rPr>
            </w:pPr>
            <w:r w:rsidRPr="000C29BC">
              <w:rPr>
                <w:b/>
                <w:sz w:val="18"/>
                <w:szCs w:val="18"/>
              </w:rPr>
              <w:t>3.6.2.2.3.4</w:t>
            </w:r>
          </w:p>
        </w:tc>
        <w:tc>
          <w:tcPr>
            <w:tcW w:w="535" w:type="dxa"/>
          </w:tcPr>
          <w:p w14:paraId="49EFD8FF" w14:textId="77777777" w:rsidR="00F755EE" w:rsidRDefault="00F755EE" w:rsidP="00F755EE">
            <w:pPr>
              <w:pStyle w:val="NoSpacing"/>
              <w:jc w:val="both"/>
              <w:rPr>
                <w:sz w:val="16"/>
                <w:szCs w:val="16"/>
              </w:rPr>
            </w:pPr>
          </w:p>
        </w:tc>
      </w:tr>
      <w:tr w:rsidR="00F755EE" w14:paraId="18128EFF" w14:textId="77777777" w:rsidTr="0062494E">
        <w:tc>
          <w:tcPr>
            <w:tcW w:w="9265" w:type="dxa"/>
          </w:tcPr>
          <w:p w14:paraId="57FFCB90" w14:textId="77777777" w:rsidR="00F755EE" w:rsidRPr="000C29BC" w:rsidRDefault="0062494E" w:rsidP="00F755EE">
            <w:pPr>
              <w:pStyle w:val="NoSpacing"/>
              <w:jc w:val="both"/>
              <w:rPr>
                <w:sz w:val="18"/>
                <w:szCs w:val="18"/>
              </w:rPr>
            </w:pPr>
            <w:r w:rsidRPr="000C29BC">
              <w:rPr>
                <w:sz w:val="18"/>
                <w:szCs w:val="18"/>
              </w:rPr>
              <w:t>Dried blood spots, collected by applying a drop of blood onto absorbent material</w:t>
            </w:r>
          </w:p>
        </w:tc>
        <w:tc>
          <w:tcPr>
            <w:tcW w:w="990" w:type="dxa"/>
          </w:tcPr>
          <w:p w14:paraId="0B312AC2" w14:textId="77777777" w:rsidR="00F755EE" w:rsidRPr="000C29BC" w:rsidRDefault="0062494E" w:rsidP="00F755EE">
            <w:pPr>
              <w:pStyle w:val="NoSpacing"/>
              <w:jc w:val="both"/>
              <w:rPr>
                <w:sz w:val="18"/>
                <w:szCs w:val="18"/>
              </w:rPr>
            </w:pPr>
            <w:r w:rsidRPr="000C29BC">
              <w:rPr>
                <w:b/>
                <w:sz w:val="18"/>
                <w:szCs w:val="18"/>
              </w:rPr>
              <w:t>3.6.2.2.3.5</w:t>
            </w:r>
          </w:p>
        </w:tc>
        <w:tc>
          <w:tcPr>
            <w:tcW w:w="535" w:type="dxa"/>
          </w:tcPr>
          <w:p w14:paraId="784206FA" w14:textId="77777777" w:rsidR="00F755EE" w:rsidRDefault="00F755EE" w:rsidP="00F755EE">
            <w:pPr>
              <w:pStyle w:val="NoSpacing"/>
              <w:jc w:val="both"/>
              <w:rPr>
                <w:sz w:val="16"/>
                <w:szCs w:val="16"/>
              </w:rPr>
            </w:pPr>
          </w:p>
        </w:tc>
      </w:tr>
      <w:tr w:rsidR="00F755EE" w14:paraId="62476C50" w14:textId="77777777" w:rsidTr="0062494E">
        <w:tc>
          <w:tcPr>
            <w:tcW w:w="9265" w:type="dxa"/>
          </w:tcPr>
          <w:p w14:paraId="1B048EF3" w14:textId="77777777" w:rsidR="00F755EE" w:rsidRPr="000C29BC" w:rsidRDefault="0062494E" w:rsidP="00F755EE">
            <w:pPr>
              <w:pStyle w:val="NoSpacing"/>
              <w:jc w:val="both"/>
              <w:rPr>
                <w:sz w:val="18"/>
                <w:szCs w:val="18"/>
              </w:rPr>
            </w:pPr>
            <w:r w:rsidRPr="000C29BC">
              <w:rPr>
                <w:sz w:val="18"/>
                <w:szCs w:val="18"/>
              </w:rPr>
              <w:t>Faecal occult blood screening samples</w:t>
            </w:r>
          </w:p>
        </w:tc>
        <w:tc>
          <w:tcPr>
            <w:tcW w:w="990" w:type="dxa"/>
          </w:tcPr>
          <w:p w14:paraId="18ECD09A" w14:textId="77777777" w:rsidR="00F755EE" w:rsidRPr="000C29BC" w:rsidRDefault="0062494E" w:rsidP="00F755EE">
            <w:pPr>
              <w:pStyle w:val="NoSpacing"/>
              <w:jc w:val="both"/>
              <w:rPr>
                <w:sz w:val="18"/>
                <w:szCs w:val="18"/>
              </w:rPr>
            </w:pPr>
            <w:r w:rsidRPr="000C29BC">
              <w:rPr>
                <w:b/>
                <w:sz w:val="18"/>
                <w:szCs w:val="18"/>
              </w:rPr>
              <w:t>3.6.2.2.3.6</w:t>
            </w:r>
          </w:p>
        </w:tc>
        <w:tc>
          <w:tcPr>
            <w:tcW w:w="535" w:type="dxa"/>
          </w:tcPr>
          <w:p w14:paraId="500B72FE" w14:textId="77777777" w:rsidR="00F755EE" w:rsidRDefault="00F755EE" w:rsidP="00F755EE">
            <w:pPr>
              <w:pStyle w:val="NoSpacing"/>
              <w:jc w:val="both"/>
              <w:rPr>
                <w:sz w:val="16"/>
                <w:szCs w:val="16"/>
              </w:rPr>
            </w:pPr>
          </w:p>
        </w:tc>
      </w:tr>
      <w:tr w:rsidR="00F755EE" w14:paraId="1CE68AA3" w14:textId="77777777" w:rsidTr="0062494E">
        <w:tc>
          <w:tcPr>
            <w:tcW w:w="9265" w:type="dxa"/>
          </w:tcPr>
          <w:p w14:paraId="6913246F" w14:textId="77777777" w:rsidR="00F755EE" w:rsidRPr="000C29BC" w:rsidRDefault="0062494E" w:rsidP="00F755EE">
            <w:pPr>
              <w:pStyle w:val="NoSpacing"/>
              <w:jc w:val="both"/>
              <w:rPr>
                <w:sz w:val="18"/>
                <w:szCs w:val="18"/>
              </w:rPr>
            </w:pPr>
            <w:r w:rsidRPr="000C29BC">
              <w:rPr>
                <w:sz w:val="18"/>
                <w:szCs w:val="18"/>
              </w:rPr>
              <w:t>Blood or blood components which have been collected for the purposes of transfusion or for the preparation of blood products to be used for transfusion or transplantation and any tissues or organs intended for use in transplantation as well as samples drawn in connection with such purposes</w:t>
            </w:r>
          </w:p>
        </w:tc>
        <w:tc>
          <w:tcPr>
            <w:tcW w:w="990" w:type="dxa"/>
          </w:tcPr>
          <w:p w14:paraId="1E699B54" w14:textId="77777777" w:rsidR="0062494E" w:rsidRPr="000C29BC" w:rsidRDefault="0062494E" w:rsidP="00F755EE">
            <w:pPr>
              <w:pStyle w:val="NoSpacing"/>
              <w:jc w:val="both"/>
              <w:rPr>
                <w:b/>
                <w:sz w:val="18"/>
                <w:szCs w:val="18"/>
              </w:rPr>
            </w:pPr>
          </w:p>
          <w:p w14:paraId="5478B9A9" w14:textId="77777777" w:rsidR="00F755EE" w:rsidRPr="000C29BC" w:rsidRDefault="0062494E" w:rsidP="00F755EE">
            <w:pPr>
              <w:pStyle w:val="NoSpacing"/>
              <w:jc w:val="both"/>
              <w:rPr>
                <w:sz w:val="18"/>
                <w:szCs w:val="18"/>
              </w:rPr>
            </w:pPr>
            <w:r w:rsidRPr="000C29BC">
              <w:rPr>
                <w:b/>
                <w:sz w:val="18"/>
                <w:szCs w:val="18"/>
              </w:rPr>
              <w:t>3.6.2.2.3.7</w:t>
            </w:r>
          </w:p>
        </w:tc>
        <w:tc>
          <w:tcPr>
            <w:tcW w:w="535" w:type="dxa"/>
          </w:tcPr>
          <w:p w14:paraId="3677618F" w14:textId="77777777" w:rsidR="00F755EE" w:rsidRDefault="00F755EE" w:rsidP="00F755EE">
            <w:pPr>
              <w:pStyle w:val="NoSpacing"/>
              <w:jc w:val="both"/>
              <w:rPr>
                <w:sz w:val="16"/>
                <w:szCs w:val="16"/>
              </w:rPr>
            </w:pPr>
          </w:p>
        </w:tc>
      </w:tr>
      <w:tr w:rsidR="0062494E" w14:paraId="6B359C64" w14:textId="77777777" w:rsidTr="0062494E">
        <w:tc>
          <w:tcPr>
            <w:tcW w:w="9265" w:type="dxa"/>
          </w:tcPr>
          <w:p w14:paraId="536140F7" w14:textId="77777777" w:rsidR="0062494E" w:rsidRPr="000C29BC" w:rsidRDefault="0062494E" w:rsidP="0062494E">
            <w:pPr>
              <w:pStyle w:val="NoSpacing"/>
              <w:jc w:val="both"/>
              <w:rPr>
                <w:sz w:val="18"/>
                <w:szCs w:val="18"/>
              </w:rPr>
            </w:pPr>
            <w:r w:rsidRPr="000C29BC">
              <w:rPr>
                <w:sz w:val="18"/>
                <w:szCs w:val="18"/>
              </w:rPr>
              <w:t xml:space="preserve">Patient specimens for which there is minimal likelihood that pathogens are present </w:t>
            </w:r>
          </w:p>
        </w:tc>
        <w:tc>
          <w:tcPr>
            <w:tcW w:w="990" w:type="dxa"/>
          </w:tcPr>
          <w:p w14:paraId="550634F2" w14:textId="77777777" w:rsidR="0062494E" w:rsidRPr="000C29BC" w:rsidRDefault="0062494E" w:rsidP="00F755EE">
            <w:pPr>
              <w:pStyle w:val="NoSpacing"/>
              <w:jc w:val="both"/>
              <w:rPr>
                <w:sz w:val="18"/>
                <w:szCs w:val="18"/>
              </w:rPr>
            </w:pPr>
            <w:r w:rsidRPr="000C29BC">
              <w:rPr>
                <w:b/>
                <w:sz w:val="18"/>
                <w:szCs w:val="18"/>
              </w:rPr>
              <w:t>3.6.2.2.3.8</w:t>
            </w:r>
          </w:p>
        </w:tc>
        <w:tc>
          <w:tcPr>
            <w:tcW w:w="535" w:type="dxa"/>
          </w:tcPr>
          <w:p w14:paraId="6A2A135C" w14:textId="77777777" w:rsidR="0062494E" w:rsidRDefault="0062494E" w:rsidP="00F755EE">
            <w:pPr>
              <w:pStyle w:val="NoSpacing"/>
              <w:jc w:val="both"/>
              <w:rPr>
                <w:sz w:val="16"/>
                <w:szCs w:val="16"/>
              </w:rPr>
            </w:pPr>
          </w:p>
        </w:tc>
      </w:tr>
      <w:tr w:rsidR="0062494E" w14:paraId="2796D2B3" w14:textId="77777777" w:rsidTr="0062494E">
        <w:tc>
          <w:tcPr>
            <w:tcW w:w="9265" w:type="dxa"/>
          </w:tcPr>
          <w:p w14:paraId="02BD9EB8" w14:textId="77777777" w:rsidR="0062494E" w:rsidRPr="000C29BC" w:rsidRDefault="0062494E" w:rsidP="00F755EE">
            <w:pPr>
              <w:pStyle w:val="NoSpacing"/>
              <w:jc w:val="both"/>
              <w:rPr>
                <w:sz w:val="18"/>
                <w:szCs w:val="18"/>
              </w:rPr>
            </w:pPr>
            <w:r w:rsidRPr="000C29BC">
              <w:rPr>
                <w:sz w:val="18"/>
                <w:szCs w:val="18"/>
              </w:rPr>
              <w:t>Medical devices or equipment potentially contaminated with or containing infectious substances which are being transported for disinfection, cleaning, sterilization, repair, or equipment evaluation</w:t>
            </w:r>
          </w:p>
        </w:tc>
        <w:tc>
          <w:tcPr>
            <w:tcW w:w="990" w:type="dxa"/>
          </w:tcPr>
          <w:p w14:paraId="3F7EAC05" w14:textId="77777777" w:rsidR="0062494E" w:rsidRPr="000C29BC" w:rsidRDefault="0062494E" w:rsidP="00F755EE">
            <w:pPr>
              <w:pStyle w:val="NoSpacing"/>
              <w:jc w:val="both"/>
              <w:rPr>
                <w:sz w:val="18"/>
                <w:szCs w:val="18"/>
              </w:rPr>
            </w:pPr>
            <w:r w:rsidRPr="000C29BC">
              <w:rPr>
                <w:b/>
                <w:sz w:val="18"/>
                <w:szCs w:val="18"/>
              </w:rPr>
              <w:t>3.6.2.2.3.9</w:t>
            </w:r>
          </w:p>
        </w:tc>
        <w:tc>
          <w:tcPr>
            <w:tcW w:w="535" w:type="dxa"/>
          </w:tcPr>
          <w:p w14:paraId="799A17FA" w14:textId="77777777" w:rsidR="0062494E" w:rsidRDefault="0062494E" w:rsidP="00F755EE">
            <w:pPr>
              <w:pStyle w:val="NoSpacing"/>
              <w:jc w:val="both"/>
              <w:rPr>
                <w:sz w:val="16"/>
                <w:szCs w:val="16"/>
              </w:rPr>
            </w:pPr>
          </w:p>
        </w:tc>
      </w:tr>
    </w:tbl>
    <w:p w14:paraId="601DE0B0" w14:textId="77777777" w:rsidR="00F755EE" w:rsidRPr="003B73A2" w:rsidRDefault="003B73A2" w:rsidP="003B73A2">
      <w:pPr>
        <w:pStyle w:val="NoSpacing"/>
        <w:jc w:val="center"/>
        <w:rPr>
          <w:sz w:val="24"/>
          <w:szCs w:val="24"/>
        </w:rPr>
      </w:pPr>
      <w:r w:rsidRPr="003B73A2">
        <w:rPr>
          <w:sz w:val="24"/>
          <w:szCs w:val="24"/>
        </w:rPr>
        <w:t>OR</w:t>
      </w:r>
    </w:p>
    <w:tbl>
      <w:tblPr>
        <w:tblStyle w:val="TableGrid"/>
        <w:tblW w:w="0" w:type="auto"/>
        <w:tblLook w:val="04A0" w:firstRow="1" w:lastRow="0" w:firstColumn="1" w:lastColumn="0" w:noHBand="0" w:noVBand="1"/>
      </w:tblPr>
      <w:tblGrid>
        <w:gridCol w:w="9265"/>
        <w:gridCol w:w="990"/>
        <w:gridCol w:w="535"/>
      </w:tblGrid>
      <w:tr w:rsidR="003B73A2" w14:paraId="17E806AA" w14:textId="77777777" w:rsidTr="003B73A2">
        <w:tc>
          <w:tcPr>
            <w:tcW w:w="9265" w:type="dxa"/>
          </w:tcPr>
          <w:p w14:paraId="75419A99" w14:textId="77777777" w:rsidR="003B73A2" w:rsidRDefault="003B73A2" w:rsidP="00F755EE">
            <w:pPr>
              <w:pStyle w:val="NoSpacing"/>
              <w:jc w:val="both"/>
              <w:rPr>
                <w:sz w:val="16"/>
                <w:szCs w:val="16"/>
              </w:rPr>
            </w:pPr>
            <w:r>
              <w:rPr>
                <w:sz w:val="16"/>
                <w:szCs w:val="16"/>
              </w:rPr>
              <w:t>The shipment falls under the subject “Biological Substances, Category B, UN3373 and is packed in compliance PI 650 of current edition of IATA DGR</w:t>
            </w:r>
          </w:p>
        </w:tc>
        <w:tc>
          <w:tcPr>
            <w:tcW w:w="990" w:type="dxa"/>
          </w:tcPr>
          <w:p w14:paraId="70D4D78A" w14:textId="77777777" w:rsidR="003B73A2" w:rsidRPr="0049316E" w:rsidRDefault="0049316E" w:rsidP="0049316E">
            <w:pPr>
              <w:pStyle w:val="NoSpacing"/>
              <w:jc w:val="center"/>
              <w:rPr>
                <w:b/>
                <w:sz w:val="16"/>
                <w:szCs w:val="16"/>
              </w:rPr>
            </w:pPr>
            <w:r w:rsidRPr="0049316E">
              <w:rPr>
                <w:b/>
                <w:sz w:val="16"/>
                <w:szCs w:val="16"/>
              </w:rPr>
              <w:t>3.6.2</w:t>
            </w:r>
          </w:p>
        </w:tc>
        <w:tc>
          <w:tcPr>
            <w:tcW w:w="535" w:type="dxa"/>
          </w:tcPr>
          <w:p w14:paraId="305DC1FE" w14:textId="77777777" w:rsidR="003B73A2" w:rsidRDefault="003B73A2" w:rsidP="00F755EE">
            <w:pPr>
              <w:pStyle w:val="NoSpacing"/>
              <w:jc w:val="both"/>
              <w:rPr>
                <w:sz w:val="16"/>
                <w:szCs w:val="16"/>
              </w:rPr>
            </w:pPr>
          </w:p>
        </w:tc>
      </w:tr>
    </w:tbl>
    <w:p w14:paraId="3B5475FC" w14:textId="77777777" w:rsidR="003B73A2" w:rsidRDefault="003B73A2" w:rsidP="00F755EE">
      <w:pPr>
        <w:pStyle w:val="NoSpacing"/>
        <w:jc w:val="both"/>
        <w:rPr>
          <w:sz w:val="16"/>
          <w:szCs w:val="16"/>
        </w:rPr>
      </w:pPr>
    </w:p>
    <w:p w14:paraId="323F104D" w14:textId="77777777" w:rsidR="000C29BC" w:rsidRDefault="000C29BC" w:rsidP="0062494E">
      <w:pPr>
        <w:pStyle w:val="NoSpacing"/>
        <w:jc w:val="both"/>
        <w:rPr>
          <w:sz w:val="20"/>
          <w:szCs w:val="20"/>
        </w:rPr>
      </w:pPr>
      <w:r>
        <w:rPr>
          <w:sz w:val="20"/>
          <w:szCs w:val="20"/>
        </w:rPr>
        <w:t>We specify that the packaging of the shipment made the following specifications:</w:t>
      </w:r>
    </w:p>
    <w:p w14:paraId="386125F3" w14:textId="77777777" w:rsidR="003B73A2" w:rsidRPr="0049316E" w:rsidRDefault="000C29BC" w:rsidP="0049316E">
      <w:pPr>
        <w:pStyle w:val="NoSpacing"/>
        <w:numPr>
          <w:ilvl w:val="0"/>
          <w:numId w:val="5"/>
        </w:numPr>
        <w:jc w:val="both"/>
        <w:rPr>
          <w:sz w:val="20"/>
          <w:szCs w:val="20"/>
        </w:rPr>
      </w:pPr>
      <w:r w:rsidRPr="0049316E">
        <w:rPr>
          <w:sz w:val="20"/>
          <w:szCs w:val="20"/>
        </w:rPr>
        <w:t xml:space="preserve">The packagings </w:t>
      </w:r>
      <w:r w:rsidR="003B73A2" w:rsidRPr="0049316E">
        <w:rPr>
          <w:sz w:val="20"/>
          <w:szCs w:val="20"/>
        </w:rPr>
        <w:t>is</w:t>
      </w:r>
      <w:r w:rsidRPr="0049316E">
        <w:rPr>
          <w:sz w:val="20"/>
          <w:szCs w:val="20"/>
        </w:rPr>
        <w:t xml:space="preserve"> of good quality, strong enough to withstand the shocks and loadings normally encountered during transport, including trans-shipment between transport units and warehouses </w:t>
      </w:r>
    </w:p>
    <w:p w14:paraId="01F9BC2A" w14:textId="77777777" w:rsidR="0049316E" w:rsidRDefault="000C29BC" w:rsidP="0049316E">
      <w:pPr>
        <w:pStyle w:val="NoSpacing"/>
        <w:numPr>
          <w:ilvl w:val="0"/>
          <w:numId w:val="5"/>
        </w:numPr>
        <w:jc w:val="both"/>
        <w:rPr>
          <w:sz w:val="20"/>
          <w:szCs w:val="20"/>
        </w:rPr>
      </w:pPr>
      <w:r w:rsidRPr="0049316E">
        <w:rPr>
          <w:sz w:val="20"/>
          <w:szCs w:val="20"/>
        </w:rPr>
        <w:t xml:space="preserve">Packagings </w:t>
      </w:r>
      <w:r w:rsidR="003B73A2" w:rsidRPr="0049316E">
        <w:rPr>
          <w:sz w:val="20"/>
          <w:szCs w:val="20"/>
        </w:rPr>
        <w:t xml:space="preserve">are </w:t>
      </w:r>
      <w:r w:rsidRPr="0049316E">
        <w:rPr>
          <w:sz w:val="20"/>
          <w:szCs w:val="20"/>
        </w:rPr>
        <w:t>constructed and closed so as to prevent any loss of contents that might be caused under normal conditions of transport, by vibration, or by changes in tempera</w:t>
      </w:r>
      <w:r w:rsidR="0049316E">
        <w:rPr>
          <w:sz w:val="20"/>
          <w:szCs w:val="20"/>
        </w:rPr>
        <w:t>ture, humidity or pressure.</w:t>
      </w:r>
    </w:p>
    <w:p w14:paraId="64B44569" w14:textId="77777777" w:rsidR="000C29BC" w:rsidRPr="0049316E" w:rsidRDefault="0049316E" w:rsidP="0049316E">
      <w:pPr>
        <w:pStyle w:val="NoSpacing"/>
        <w:numPr>
          <w:ilvl w:val="0"/>
          <w:numId w:val="5"/>
        </w:numPr>
        <w:jc w:val="both"/>
        <w:rPr>
          <w:sz w:val="20"/>
          <w:szCs w:val="20"/>
        </w:rPr>
      </w:pPr>
      <w:r>
        <w:rPr>
          <w:sz w:val="20"/>
          <w:szCs w:val="20"/>
        </w:rPr>
        <w:t>Adequately and visibly marked with consignee name, contact number, and “This side up” sticker”</w:t>
      </w:r>
      <w:r w:rsidR="000C29BC" w:rsidRPr="0049316E">
        <w:rPr>
          <w:sz w:val="20"/>
          <w:szCs w:val="20"/>
        </w:rPr>
        <w:t xml:space="preserve">       </w:t>
      </w:r>
    </w:p>
    <w:p w14:paraId="72D7C927" w14:textId="77777777" w:rsidR="003B73A2" w:rsidRPr="0049316E" w:rsidRDefault="000C29BC" w:rsidP="0049316E">
      <w:pPr>
        <w:pStyle w:val="NoSpacing"/>
        <w:numPr>
          <w:ilvl w:val="0"/>
          <w:numId w:val="5"/>
        </w:numPr>
        <w:jc w:val="both"/>
        <w:rPr>
          <w:sz w:val="20"/>
          <w:szCs w:val="20"/>
        </w:rPr>
      </w:pPr>
      <w:r w:rsidRPr="0049316E">
        <w:rPr>
          <w:sz w:val="20"/>
          <w:szCs w:val="20"/>
        </w:rPr>
        <w:t xml:space="preserve">The packaging t consist of three components: </w:t>
      </w:r>
      <w:r w:rsidR="003B73A2" w:rsidRPr="0049316E">
        <w:rPr>
          <w:sz w:val="20"/>
          <w:szCs w:val="20"/>
        </w:rPr>
        <w:t xml:space="preserve">a primary receptacle(s) -  </w:t>
      </w:r>
      <w:r w:rsidRPr="0049316E">
        <w:rPr>
          <w:sz w:val="20"/>
          <w:szCs w:val="20"/>
        </w:rPr>
        <w:t>a secondary packaging; and</w:t>
      </w:r>
      <w:r w:rsidR="003B73A2" w:rsidRPr="0049316E">
        <w:rPr>
          <w:sz w:val="20"/>
          <w:szCs w:val="20"/>
        </w:rPr>
        <w:t xml:space="preserve"> </w:t>
      </w:r>
      <w:r w:rsidRPr="0049316E">
        <w:rPr>
          <w:sz w:val="20"/>
          <w:szCs w:val="20"/>
        </w:rPr>
        <w:t xml:space="preserve">a rigid outer packaging. </w:t>
      </w:r>
    </w:p>
    <w:p w14:paraId="5B4CBF3F" w14:textId="77777777" w:rsidR="000C29BC" w:rsidRPr="0049316E" w:rsidRDefault="000C29BC" w:rsidP="0049316E">
      <w:pPr>
        <w:pStyle w:val="NoSpacing"/>
        <w:numPr>
          <w:ilvl w:val="0"/>
          <w:numId w:val="5"/>
        </w:numPr>
        <w:jc w:val="both"/>
        <w:rPr>
          <w:sz w:val="20"/>
          <w:szCs w:val="20"/>
        </w:rPr>
      </w:pPr>
      <w:r w:rsidRPr="0049316E">
        <w:rPr>
          <w:sz w:val="20"/>
          <w:szCs w:val="20"/>
        </w:rPr>
        <w:t>At least one surface of the outer packaging must have a minimum dimension of 100 mm × 100 mm.</w:t>
      </w:r>
    </w:p>
    <w:p w14:paraId="2A51CB40" w14:textId="77777777" w:rsidR="00F755EE" w:rsidRPr="0062494E" w:rsidRDefault="00F755EE" w:rsidP="0062494E">
      <w:pPr>
        <w:pStyle w:val="NoSpacing"/>
        <w:jc w:val="both"/>
        <w:rPr>
          <w:sz w:val="16"/>
          <w:szCs w:val="16"/>
        </w:rPr>
      </w:pPr>
      <w:r w:rsidRPr="00F755EE">
        <w:rPr>
          <w:sz w:val="16"/>
          <w:szCs w:val="16"/>
        </w:rPr>
        <w:t xml:space="preserve">       </w:t>
      </w:r>
    </w:p>
    <w:p w14:paraId="1EEF174A" w14:textId="77777777" w:rsidR="005C3FBA" w:rsidRPr="0049316E" w:rsidRDefault="0049316E" w:rsidP="00F755EE">
      <w:pPr>
        <w:pStyle w:val="NoSpacing"/>
        <w:rPr>
          <w:sz w:val="20"/>
          <w:szCs w:val="20"/>
        </w:rPr>
      </w:pPr>
      <w:r>
        <w:rPr>
          <w:sz w:val="20"/>
          <w:szCs w:val="20"/>
        </w:rPr>
        <w:t xml:space="preserve">We also further specify the following details of the refrigerant (only if packed with the same) </w:t>
      </w:r>
    </w:p>
    <w:tbl>
      <w:tblPr>
        <w:tblStyle w:val="TableGrid"/>
        <w:tblW w:w="0" w:type="auto"/>
        <w:tblLook w:val="04A0" w:firstRow="1" w:lastRow="0" w:firstColumn="1" w:lastColumn="0" w:noHBand="0" w:noVBand="1"/>
      </w:tblPr>
      <w:tblGrid>
        <w:gridCol w:w="2697"/>
        <w:gridCol w:w="1618"/>
        <w:gridCol w:w="1620"/>
        <w:gridCol w:w="4855"/>
      </w:tblGrid>
      <w:tr w:rsidR="0049316E" w14:paraId="1288BC24" w14:textId="77777777" w:rsidTr="0049316E">
        <w:tc>
          <w:tcPr>
            <w:tcW w:w="2697" w:type="dxa"/>
          </w:tcPr>
          <w:p w14:paraId="555D3ED5" w14:textId="77777777" w:rsidR="0049316E" w:rsidRPr="0049316E" w:rsidRDefault="0049316E" w:rsidP="00F755EE">
            <w:pPr>
              <w:pStyle w:val="NoSpacing"/>
              <w:rPr>
                <w:b/>
                <w:sz w:val="20"/>
                <w:szCs w:val="20"/>
              </w:rPr>
            </w:pPr>
            <w:r w:rsidRPr="0049316E">
              <w:rPr>
                <w:b/>
                <w:sz w:val="20"/>
                <w:szCs w:val="20"/>
              </w:rPr>
              <w:t>Type of refrigerant</w:t>
            </w:r>
          </w:p>
        </w:tc>
        <w:tc>
          <w:tcPr>
            <w:tcW w:w="1618" w:type="dxa"/>
          </w:tcPr>
          <w:p w14:paraId="7540601F" w14:textId="77777777" w:rsidR="0049316E" w:rsidRPr="0049316E" w:rsidRDefault="0049316E" w:rsidP="0049316E">
            <w:pPr>
              <w:pStyle w:val="NoSpacing"/>
              <w:jc w:val="center"/>
              <w:rPr>
                <w:b/>
                <w:sz w:val="20"/>
                <w:szCs w:val="20"/>
              </w:rPr>
            </w:pPr>
            <w:r w:rsidRPr="0049316E">
              <w:rPr>
                <w:b/>
                <w:sz w:val="20"/>
                <w:szCs w:val="20"/>
              </w:rPr>
              <w:t>Quantity in each package</w:t>
            </w:r>
          </w:p>
        </w:tc>
        <w:tc>
          <w:tcPr>
            <w:tcW w:w="1620" w:type="dxa"/>
          </w:tcPr>
          <w:p w14:paraId="41B470EF" w14:textId="77777777" w:rsidR="0049316E" w:rsidRPr="0049316E" w:rsidRDefault="0049316E" w:rsidP="00F755EE">
            <w:pPr>
              <w:pStyle w:val="NoSpacing"/>
              <w:rPr>
                <w:b/>
                <w:sz w:val="20"/>
                <w:szCs w:val="20"/>
              </w:rPr>
            </w:pPr>
            <w:r w:rsidRPr="0049316E">
              <w:rPr>
                <w:b/>
                <w:sz w:val="20"/>
                <w:szCs w:val="20"/>
              </w:rPr>
              <w:t>Total No. of box</w:t>
            </w:r>
          </w:p>
        </w:tc>
        <w:tc>
          <w:tcPr>
            <w:tcW w:w="4855" w:type="dxa"/>
          </w:tcPr>
          <w:p w14:paraId="425D5B6A" w14:textId="77777777" w:rsidR="0049316E" w:rsidRPr="0049316E" w:rsidRDefault="0049316E" w:rsidP="0049316E">
            <w:pPr>
              <w:pStyle w:val="NoSpacing"/>
              <w:jc w:val="center"/>
              <w:rPr>
                <w:b/>
                <w:sz w:val="20"/>
                <w:szCs w:val="20"/>
              </w:rPr>
            </w:pPr>
            <w:r>
              <w:rPr>
                <w:b/>
                <w:sz w:val="20"/>
                <w:szCs w:val="20"/>
              </w:rPr>
              <w:t>Name and signature of the shipper</w:t>
            </w:r>
          </w:p>
        </w:tc>
      </w:tr>
      <w:tr w:rsidR="0049316E" w14:paraId="61BC8464" w14:textId="77777777" w:rsidTr="0049316E">
        <w:tc>
          <w:tcPr>
            <w:tcW w:w="2697" w:type="dxa"/>
          </w:tcPr>
          <w:p w14:paraId="22A66142" w14:textId="77777777" w:rsidR="0049316E" w:rsidRPr="0049316E" w:rsidRDefault="0049316E" w:rsidP="00F755EE">
            <w:pPr>
              <w:pStyle w:val="NoSpacing"/>
              <w:rPr>
                <w:sz w:val="20"/>
                <w:szCs w:val="20"/>
              </w:rPr>
            </w:pPr>
            <w:r w:rsidRPr="0049316E">
              <w:rPr>
                <w:sz w:val="20"/>
                <w:szCs w:val="20"/>
              </w:rPr>
              <w:t>Ice / gel pack</w:t>
            </w:r>
          </w:p>
        </w:tc>
        <w:tc>
          <w:tcPr>
            <w:tcW w:w="1618" w:type="dxa"/>
          </w:tcPr>
          <w:p w14:paraId="63EDF2F2" w14:textId="77777777" w:rsidR="0049316E" w:rsidRPr="0049316E" w:rsidRDefault="0049316E" w:rsidP="00F755EE">
            <w:pPr>
              <w:pStyle w:val="NoSpacing"/>
              <w:rPr>
                <w:sz w:val="20"/>
                <w:szCs w:val="20"/>
              </w:rPr>
            </w:pPr>
            <w:r>
              <w:rPr>
                <w:sz w:val="20"/>
                <w:szCs w:val="20"/>
              </w:rPr>
              <w:t>Not required</w:t>
            </w:r>
          </w:p>
        </w:tc>
        <w:tc>
          <w:tcPr>
            <w:tcW w:w="1620" w:type="dxa"/>
          </w:tcPr>
          <w:p w14:paraId="3A8E232D" w14:textId="77777777" w:rsidR="0049316E" w:rsidRPr="0049316E" w:rsidRDefault="0049316E" w:rsidP="00F755EE">
            <w:pPr>
              <w:pStyle w:val="NoSpacing"/>
              <w:rPr>
                <w:sz w:val="20"/>
                <w:szCs w:val="20"/>
              </w:rPr>
            </w:pPr>
            <w:r>
              <w:rPr>
                <w:sz w:val="20"/>
                <w:szCs w:val="20"/>
              </w:rPr>
              <w:t>Not required</w:t>
            </w:r>
          </w:p>
        </w:tc>
        <w:tc>
          <w:tcPr>
            <w:tcW w:w="4855" w:type="dxa"/>
            <w:vMerge w:val="restart"/>
          </w:tcPr>
          <w:p w14:paraId="79E85973" w14:textId="77777777" w:rsidR="0049316E" w:rsidRPr="0049316E" w:rsidRDefault="0049316E" w:rsidP="00F755EE">
            <w:pPr>
              <w:pStyle w:val="NoSpacing"/>
              <w:rPr>
                <w:sz w:val="20"/>
                <w:szCs w:val="20"/>
              </w:rPr>
            </w:pPr>
          </w:p>
        </w:tc>
      </w:tr>
      <w:tr w:rsidR="0049316E" w14:paraId="1C885056" w14:textId="77777777" w:rsidTr="0049316E">
        <w:tc>
          <w:tcPr>
            <w:tcW w:w="2697" w:type="dxa"/>
          </w:tcPr>
          <w:p w14:paraId="182FD4A9" w14:textId="77777777" w:rsidR="0049316E" w:rsidRPr="0049316E" w:rsidRDefault="0049316E" w:rsidP="00F755EE">
            <w:pPr>
              <w:pStyle w:val="NoSpacing"/>
              <w:rPr>
                <w:sz w:val="20"/>
                <w:szCs w:val="20"/>
              </w:rPr>
            </w:pPr>
            <w:r>
              <w:rPr>
                <w:sz w:val="20"/>
                <w:szCs w:val="20"/>
              </w:rPr>
              <w:t xml:space="preserve">Dry </w:t>
            </w:r>
            <w:r w:rsidR="00E00767">
              <w:rPr>
                <w:sz w:val="20"/>
                <w:szCs w:val="20"/>
              </w:rPr>
              <w:t>–</w:t>
            </w:r>
            <w:r>
              <w:rPr>
                <w:sz w:val="20"/>
                <w:szCs w:val="20"/>
              </w:rPr>
              <w:t xml:space="preserve"> ice</w:t>
            </w:r>
            <w:r w:rsidR="00E00767">
              <w:rPr>
                <w:sz w:val="20"/>
                <w:szCs w:val="20"/>
              </w:rPr>
              <w:t>: UN1845 Class 9,PI 954</w:t>
            </w:r>
          </w:p>
        </w:tc>
        <w:tc>
          <w:tcPr>
            <w:tcW w:w="1618" w:type="dxa"/>
          </w:tcPr>
          <w:p w14:paraId="7DFE132F" w14:textId="77777777" w:rsidR="0049316E" w:rsidRPr="0049316E" w:rsidRDefault="0049316E" w:rsidP="00F755EE">
            <w:pPr>
              <w:pStyle w:val="NoSpacing"/>
              <w:rPr>
                <w:sz w:val="20"/>
                <w:szCs w:val="20"/>
              </w:rPr>
            </w:pPr>
          </w:p>
        </w:tc>
        <w:tc>
          <w:tcPr>
            <w:tcW w:w="1620" w:type="dxa"/>
          </w:tcPr>
          <w:p w14:paraId="1732F055" w14:textId="77777777" w:rsidR="0049316E" w:rsidRPr="0049316E" w:rsidRDefault="0049316E" w:rsidP="00F755EE">
            <w:pPr>
              <w:pStyle w:val="NoSpacing"/>
              <w:rPr>
                <w:sz w:val="20"/>
                <w:szCs w:val="20"/>
              </w:rPr>
            </w:pPr>
          </w:p>
        </w:tc>
        <w:tc>
          <w:tcPr>
            <w:tcW w:w="4855" w:type="dxa"/>
            <w:vMerge/>
          </w:tcPr>
          <w:p w14:paraId="183AA2E8" w14:textId="77777777" w:rsidR="0049316E" w:rsidRPr="0049316E" w:rsidRDefault="0049316E" w:rsidP="00F755EE">
            <w:pPr>
              <w:pStyle w:val="NoSpacing"/>
              <w:rPr>
                <w:sz w:val="20"/>
                <w:szCs w:val="20"/>
              </w:rPr>
            </w:pPr>
          </w:p>
        </w:tc>
      </w:tr>
      <w:tr w:rsidR="0049316E" w14:paraId="1516CB26" w14:textId="77777777" w:rsidTr="0049316E">
        <w:tc>
          <w:tcPr>
            <w:tcW w:w="2697" w:type="dxa"/>
          </w:tcPr>
          <w:p w14:paraId="347EB39B" w14:textId="77777777" w:rsidR="0049316E" w:rsidRDefault="0049316E" w:rsidP="00F755EE">
            <w:pPr>
              <w:pStyle w:val="NoSpacing"/>
              <w:rPr>
                <w:sz w:val="20"/>
                <w:szCs w:val="20"/>
              </w:rPr>
            </w:pPr>
            <w:r>
              <w:rPr>
                <w:sz w:val="20"/>
                <w:szCs w:val="20"/>
              </w:rPr>
              <w:t xml:space="preserve">Liquefied nitrogen </w:t>
            </w:r>
          </w:p>
          <w:p w14:paraId="7BBD1C45" w14:textId="77777777" w:rsidR="0049316E" w:rsidRPr="0049316E" w:rsidRDefault="0049316E" w:rsidP="00F755EE">
            <w:pPr>
              <w:pStyle w:val="NoSpacing"/>
              <w:rPr>
                <w:sz w:val="20"/>
                <w:szCs w:val="20"/>
              </w:rPr>
            </w:pPr>
            <w:r>
              <w:rPr>
                <w:sz w:val="20"/>
                <w:szCs w:val="20"/>
              </w:rPr>
              <w:t>(accepted if packed as per SP A152 of IATA DGR)</w:t>
            </w:r>
          </w:p>
        </w:tc>
        <w:tc>
          <w:tcPr>
            <w:tcW w:w="1618" w:type="dxa"/>
          </w:tcPr>
          <w:p w14:paraId="20F2708A" w14:textId="77777777" w:rsidR="0049316E" w:rsidRPr="0049316E" w:rsidRDefault="0049316E" w:rsidP="00F755EE">
            <w:pPr>
              <w:pStyle w:val="NoSpacing"/>
              <w:rPr>
                <w:sz w:val="20"/>
                <w:szCs w:val="20"/>
              </w:rPr>
            </w:pPr>
          </w:p>
        </w:tc>
        <w:tc>
          <w:tcPr>
            <w:tcW w:w="1620" w:type="dxa"/>
          </w:tcPr>
          <w:p w14:paraId="0FD42026" w14:textId="77777777" w:rsidR="0049316E" w:rsidRPr="0049316E" w:rsidRDefault="0049316E" w:rsidP="00F755EE">
            <w:pPr>
              <w:pStyle w:val="NoSpacing"/>
              <w:rPr>
                <w:sz w:val="20"/>
                <w:szCs w:val="20"/>
              </w:rPr>
            </w:pPr>
          </w:p>
        </w:tc>
        <w:tc>
          <w:tcPr>
            <w:tcW w:w="4855" w:type="dxa"/>
            <w:vMerge/>
          </w:tcPr>
          <w:p w14:paraId="57E20641" w14:textId="77777777" w:rsidR="0049316E" w:rsidRPr="0049316E" w:rsidRDefault="0049316E" w:rsidP="00F755EE">
            <w:pPr>
              <w:pStyle w:val="NoSpacing"/>
              <w:rPr>
                <w:sz w:val="20"/>
                <w:szCs w:val="20"/>
              </w:rPr>
            </w:pPr>
          </w:p>
        </w:tc>
      </w:tr>
    </w:tbl>
    <w:p w14:paraId="267C3AFC" w14:textId="77777777" w:rsidR="00F755EE" w:rsidRDefault="00F755EE" w:rsidP="00F755EE">
      <w:pPr>
        <w:pStyle w:val="NoSpacing"/>
        <w:rPr>
          <w:sz w:val="18"/>
          <w:szCs w:val="18"/>
        </w:rPr>
      </w:pPr>
    </w:p>
    <w:p w14:paraId="06EFA8A5" w14:textId="77777777" w:rsidR="0049316E" w:rsidRDefault="0049316E" w:rsidP="00F755EE">
      <w:pPr>
        <w:pStyle w:val="NoSpacing"/>
        <w:rPr>
          <w:sz w:val="18"/>
          <w:szCs w:val="18"/>
        </w:rPr>
      </w:pPr>
    </w:p>
    <w:p w14:paraId="33258647" w14:textId="77777777" w:rsidR="0049316E" w:rsidRDefault="0049316E" w:rsidP="00F755EE">
      <w:pPr>
        <w:pStyle w:val="NoSpacing"/>
        <w:rPr>
          <w:sz w:val="18"/>
          <w:szCs w:val="18"/>
        </w:rPr>
      </w:pPr>
    </w:p>
    <w:p w14:paraId="419D1E72" w14:textId="77777777" w:rsidR="0049316E" w:rsidRDefault="0049316E" w:rsidP="0049316E">
      <w:pPr>
        <w:pStyle w:val="NoSpacing"/>
        <w:jc w:val="right"/>
        <w:rPr>
          <w:sz w:val="18"/>
          <w:szCs w:val="18"/>
        </w:rPr>
      </w:pPr>
    </w:p>
    <w:p w14:paraId="43A5CE49" w14:textId="77777777" w:rsidR="0049316E" w:rsidRDefault="0049316E" w:rsidP="00F755EE">
      <w:pPr>
        <w:pStyle w:val="NoSpacing"/>
        <w:rPr>
          <w:sz w:val="18"/>
          <w:szCs w:val="18"/>
        </w:rPr>
      </w:pPr>
    </w:p>
    <w:p w14:paraId="4AE79C50" w14:textId="77777777" w:rsidR="0049316E" w:rsidRPr="00F755EE" w:rsidRDefault="0049316E" w:rsidP="00F755EE">
      <w:pPr>
        <w:pStyle w:val="NoSpacing"/>
        <w:rPr>
          <w:sz w:val="18"/>
          <w:szCs w:val="18"/>
        </w:rPr>
      </w:pPr>
    </w:p>
    <w:sectPr w:rsidR="0049316E" w:rsidRPr="00F755EE" w:rsidSect="002E5F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E0993"/>
    <w:multiLevelType w:val="hybridMultilevel"/>
    <w:tmpl w:val="EE50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8F0D24"/>
    <w:multiLevelType w:val="hybridMultilevel"/>
    <w:tmpl w:val="5E8A3334"/>
    <w:lvl w:ilvl="0" w:tplc="0409000B">
      <w:start w:val="1"/>
      <w:numFmt w:val="bullet"/>
      <w:lvlText w:val=""/>
      <w:lvlJc w:val="left"/>
      <w:pPr>
        <w:ind w:left="762" w:hanging="360"/>
      </w:pPr>
      <w:rPr>
        <w:rFonts w:ascii="Wingdings" w:hAnsi="Wingdings"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2" w15:restartNumberingAfterBreak="0">
    <w:nsid w:val="55DD5924"/>
    <w:multiLevelType w:val="hybridMultilevel"/>
    <w:tmpl w:val="46EC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7843A6"/>
    <w:multiLevelType w:val="hybridMultilevel"/>
    <w:tmpl w:val="07E4F1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E96C43"/>
    <w:multiLevelType w:val="hybridMultilevel"/>
    <w:tmpl w:val="BD563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3F"/>
    <w:rsid w:val="000C29BC"/>
    <w:rsid w:val="002E5F3F"/>
    <w:rsid w:val="003B73A2"/>
    <w:rsid w:val="0049316E"/>
    <w:rsid w:val="00507803"/>
    <w:rsid w:val="005C3FBA"/>
    <w:rsid w:val="0062494E"/>
    <w:rsid w:val="00A142F1"/>
    <w:rsid w:val="00C629C5"/>
    <w:rsid w:val="00E00767"/>
    <w:rsid w:val="00E8386C"/>
    <w:rsid w:val="00F75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0B03"/>
  <w15:chartTrackingRefBased/>
  <w15:docId w15:val="{2E81B2BC-CEF4-42A8-B6D3-A1C9744A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E5F3F"/>
    <w:pPr>
      <w:spacing w:after="0" w:line="240" w:lineRule="auto"/>
    </w:pPr>
  </w:style>
  <w:style w:type="table" w:styleId="TableGrid">
    <w:name w:val="Table Grid"/>
    <w:basedOn w:val="TableNormal"/>
    <w:uiPriority w:val="39"/>
    <w:rsid w:val="005C3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5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5EE"/>
  </w:style>
  <w:style w:type="character" w:customStyle="1" w:styleId="NoSpacingChar">
    <w:name w:val="No Spacing Char"/>
    <w:basedOn w:val="DefaultParagraphFont"/>
    <w:link w:val="NoSpacing"/>
    <w:uiPriority w:val="1"/>
    <w:rsid w:val="00F75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Indigo</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Pratik Chatterjee (Cargo,DEL)</dc:creator>
  <cp:keywords/>
  <dc:description/>
  <cp:lastModifiedBy>Administrator</cp:lastModifiedBy>
  <cp:revision>2</cp:revision>
  <dcterms:created xsi:type="dcterms:W3CDTF">2019-09-30T07:22:00Z</dcterms:created>
  <dcterms:modified xsi:type="dcterms:W3CDTF">2019-09-30T07:22:00Z</dcterms:modified>
</cp:coreProperties>
</file>